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5-</w:t>
      </w:r>
      <w:r>
        <w:rPr>
          <w:rFonts w:ascii="Times New Roman" w:eastAsia="Times New Roman" w:hAnsi="Times New Roman" w:cs="Times New Roman"/>
          <w:sz w:val="27"/>
          <w:szCs w:val="27"/>
        </w:rPr>
        <w:t>890</w:t>
      </w:r>
      <w:r>
        <w:rPr>
          <w:rFonts w:ascii="Times New Roman" w:eastAsia="Times New Roman" w:hAnsi="Times New Roman" w:cs="Times New Roman"/>
          <w:sz w:val="27"/>
          <w:szCs w:val="27"/>
        </w:rPr>
        <w:t>-26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родившегося </w:t>
      </w:r>
      <w:r>
        <w:rPr>
          <w:rStyle w:val="cat-UserDefinedgrp-36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месту жительства по адресу: </w:t>
      </w:r>
      <w:r>
        <w:rPr>
          <w:rStyle w:val="cat-UserDefinedgrp-37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являющегося </w:t>
      </w:r>
      <w:r>
        <w:rPr>
          <w:rStyle w:val="cat-UserDefinedgrp-38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</w:t>
      </w:r>
      <w:r>
        <w:rPr>
          <w:rFonts w:ascii="Times New Roman" w:eastAsia="Times New Roman" w:hAnsi="Times New Roman" w:cs="Times New Roman"/>
          <w:sz w:val="27"/>
          <w:szCs w:val="27"/>
        </w:rPr>
        <w:t>года от налогоплательщика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9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декларация по налогу на добавленную стоимость за 3 квартал 2023 года не поступала. Установленный законодательством о налогах и сборах срок предоставления декларации по налогу на добавленную стоимость за 3 квартал 2023 год – не позднее 25.10.2023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5 ст. 174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(п. 6 Постановления Пленума ВС РФ от 24.03.2005 г. № 5), </w:t>
      </w:r>
      <w:r>
        <w:rPr>
          <w:rFonts w:ascii="Times New Roman" w:eastAsia="Times New Roman" w:hAnsi="Times New Roman" w:cs="Times New Roman"/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Хохлач В.А</w:t>
      </w:r>
      <w:r>
        <w:rPr>
          <w:rFonts w:ascii="Times New Roman" w:eastAsia="Times New Roman" w:hAnsi="Times New Roman" w:cs="Times New Roman"/>
          <w:sz w:val="27"/>
          <w:szCs w:val="27"/>
        </w:rPr>
        <w:t>.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23769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17.04.2024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26.10.2023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20.02.2024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списка внутренних почтовых отправлений от 21.02.2024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14.03.2024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14.03.2024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Хохлач В.А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полностью доказанной. </w:t>
      </w:r>
      <w:r>
        <w:rPr>
          <w:rFonts w:ascii="Times New Roman" w:eastAsia="Times New Roman" w:hAnsi="Times New Roman" w:cs="Times New Roman"/>
          <w:sz w:val="27"/>
          <w:szCs w:val="27"/>
        </w:rPr>
        <w:t>Его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27.09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Хохлач В.А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уководствуясь ч.1 ст. 29.10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Хохлач Виталия Анатольевича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0,00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0412365400585008902415166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3133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7">
    <w:name w:val="cat-UserDefined grp-36 rplc-7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UserDefinedgrp-39rplc-18">
    <w:name w:val="cat-UserDefined grp-39 rplc-18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819E-F777-4C97-B340-ABAB4BCFBA1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